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8393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Introduction  Lecture 1: Introduction to financial law  </w:t>
      </w:r>
    </w:p>
    <w:p w14:paraId="7AE74F41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What is the financial market?  </w:t>
      </w:r>
    </w:p>
    <w:p w14:paraId="16D85AF0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legal side of the financial market  </w:t>
      </w:r>
    </w:p>
    <w:p w14:paraId="05257971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regulatory side of the financial market  </w:t>
      </w:r>
    </w:p>
    <w:p w14:paraId="09B085C6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Overview of types of financial transactions  </w:t>
      </w:r>
    </w:p>
    <w:p w14:paraId="5408A65D" w14:textId="77777777" w:rsid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National, EU and international law  </w:t>
      </w:r>
    </w:p>
    <w:p w14:paraId="6AE328C8" w14:textId="77777777" w:rsidR="00BE1E16" w:rsidRDefault="00BE1E16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27A0692F" w14:textId="77777777" w:rsid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2</w:t>
      </w:r>
      <w:proofErr w:type="spellStart"/>
      <w:r w:rsidRPr="00BE1E16">
        <w:rPr>
          <w:rFonts w:ascii="Times New Roman" w:hAnsi="Times New Roman" w:cs="Times New Roman"/>
          <w:color w:val="000000"/>
          <w:position w:val="8"/>
          <w:lang w:val="en-US"/>
        </w:rPr>
        <w:t>nd</w:t>
      </w:r>
      <w:proofErr w:type="spellEnd"/>
      <w:r w:rsidRPr="00BE1E16">
        <w:rPr>
          <w:rFonts w:ascii="Times New Roman" w:hAnsi="Times New Roman" w:cs="Times New Roman"/>
          <w:color w:val="000000"/>
          <w:position w:val="8"/>
          <w:lang w:val="en-US"/>
        </w:rPr>
        <w:t xml:space="preserve"> </w:t>
      </w:r>
      <w:r w:rsidRPr="00BE1E16">
        <w:rPr>
          <w:rFonts w:ascii="Times New Roman" w:hAnsi="Times New Roman" w:cs="Times New Roman"/>
          <w:color w:val="000000"/>
          <w:lang w:val="en-US"/>
        </w:rPr>
        <w:t>Part: The different transaction types  </w:t>
      </w:r>
    </w:p>
    <w:p w14:paraId="4FEFF289" w14:textId="77777777" w:rsidR="00BE1E16" w:rsidRDefault="00BE1E16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43385008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 xml:space="preserve">Lecture 2: Creating risk - </w:t>
      </w:r>
      <w:proofErr w:type="gramStart"/>
      <w:r w:rsidRPr="00BE1E16">
        <w:rPr>
          <w:rFonts w:ascii="Times New Roman" w:hAnsi="Times New Roman" w:cs="Times New Roman"/>
          <w:color w:val="000000"/>
          <w:lang w:val="en-US"/>
        </w:rPr>
        <w:t>Raising</w:t>
      </w:r>
      <w:proofErr w:type="gramEnd"/>
      <w:r w:rsidRPr="00BE1E16">
        <w:rPr>
          <w:rFonts w:ascii="Times New Roman" w:hAnsi="Times New Roman" w:cs="Times New Roman"/>
          <w:color w:val="000000"/>
          <w:lang w:val="en-US"/>
        </w:rPr>
        <w:t xml:space="preserve"> capital  </w:t>
      </w:r>
    </w:p>
    <w:p w14:paraId="626309B6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nature and business of banks  </w:t>
      </w:r>
    </w:p>
    <w:p w14:paraId="0C787DE9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A bank’s balance sheet  </w:t>
      </w:r>
    </w:p>
    <w:p w14:paraId="0583119D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Loans and interest  </w:t>
      </w:r>
    </w:p>
    <w:p w14:paraId="10476FD5" w14:textId="77777777" w:rsidR="009346DC" w:rsidRPr="00BE1E16" w:rsidRDefault="009346DC" w:rsidP="000C3569">
      <w:pPr>
        <w:widowControl w:val="0"/>
        <w:tabs>
          <w:tab w:val="left" w:pos="0"/>
        </w:tabs>
        <w:ind w:left="360" w:right="57"/>
        <w:rPr>
          <w:rFonts w:ascii="Times New Roman" w:hAnsi="Times New Roman" w:cs="Times New Roman"/>
        </w:rPr>
      </w:pPr>
    </w:p>
    <w:p w14:paraId="1F99EFE9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-  Deposit taking  </w:t>
      </w:r>
    </w:p>
    <w:p w14:paraId="6F957397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-  Syndicated loans  </w:t>
      </w:r>
    </w:p>
    <w:p w14:paraId="53805FAA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7EE2E7AD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Lecture 3: Creating risk II and risk transfer  </w:t>
      </w:r>
    </w:p>
    <w:p w14:paraId="61DEDFC4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Issuance of Shares (Equity)  </w:t>
      </w:r>
    </w:p>
    <w:p w14:paraId="3E3B4F39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Issuance of Bonds (Debt)  </w:t>
      </w:r>
    </w:p>
    <w:p w14:paraId="045B2291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Issuance of International Bonds (Eurobonds)  </w:t>
      </w:r>
    </w:p>
    <w:p w14:paraId="3749B485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Assignment  </w:t>
      </w:r>
    </w:p>
    <w:p w14:paraId="219F33BA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Novation  </w:t>
      </w:r>
    </w:p>
    <w:p w14:paraId="73901F23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Other transfer alternatives  </w:t>
      </w:r>
    </w:p>
    <w:p w14:paraId="7B07873C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6ADBFD02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Lecture 4: Risk mitigation I – Security interests  </w:t>
      </w:r>
    </w:p>
    <w:p w14:paraId="14862B71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Security interests: pledge, mortgage, fix and floating charge  </w:t>
      </w:r>
    </w:p>
    <w:p w14:paraId="7A3D4F4F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Quasi-security: title-transfer  </w:t>
      </w:r>
    </w:p>
    <w:p w14:paraId="1D1891EC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Distinction between fix and floating charge under English law  </w:t>
      </w:r>
    </w:p>
    <w:p w14:paraId="52A2C6E7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49B56049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Lecture 5: Risk mitigation II – Financial collateral  </w:t>
      </w:r>
    </w:p>
    <w:p w14:paraId="4E3BBE97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Financial collateral  </w:t>
      </w:r>
    </w:p>
    <w:p w14:paraId="650B7A2C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Substitution, margining, right of use  </w:t>
      </w:r>
    </w:p>
    <w:p w14:paraId="045AE997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Legal advantages and drawbacks  </w:t>
      </w:r>
    </w:p>
    <w:p w14:paraId="2EC00625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EU and national legislation  </w:t>
      </w:r>
    </w:p>
    <w:p w14:paraId="17B88D70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Securities lending and repurchase agreements  </w:t>
      </w:r>
    </w:p>
    <w:p w14:paraId="1E16CCEB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6BC014EE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 xml:space="preserve">Lecture 6: Risk mitigation III – Personal surety, derivatives </w:t>
      </w:r>
    </w:p>
    <w:p w14:paraId="42EFEC31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Guarantee and indemnity  </w:t>
      </w:r>
    </w:p>
    <w:p w14:paraId="0944E5DA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Insurance  </w:t>
      </w:r>
    </w:p>
    <w:p w14:paraId="33328BB3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</w:t>
      </w:r>
      <w:proofErr w:type="gramStart"/>
      <w:r w:rsidRPr="00BE1E16">
        <w:rPr>
          <w:rFonts w:ascii="Times New Roman" w:hAnsi="Times New Roman" w:cs="Times New Roman"/>
          <w:color w:val="000000"/>
          <w:lang w:val="en-US"/>
        </w:rPr>
        <w:t>Futures, options, swaps</w:t>
      </w:r>
      <w:proofErr w:type="gramEnd"/>
      <w:r w:rsidRPr="00BE1E16">
        <w:rPr>
          <w:rFonts w:ascii="Times New Roman" w:hAnsi="Times New Roman" w:cs="Times New Roman"/>
          <w:color w:val="000000"/>
          <w:lang w:val="en-US"/>
        </w:rPr>
        <w:t xml:space="preserve">  </w:t>
      </w:r>
    </w:p>
    <w:p w14:paraId="35263203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Credit default swaps  </w:t>
      </w:r>
    </w:p>
    <w:p w14:paraId="15596AB8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Recharacterisation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risk  </w:t>
      </w:r>
    </w:p>
    <w:p w14:paraId="225FCF37" w14:textId="77777777" w:rsid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Standard market documentation (ISDA, GMRA, LMA)  </w:t>
      </w:r>
    </w:p>
    <w:p w14:paraId="509D3790" w14:textId="77777777" w:rsidR="00BE1E16" w:rsidRDefault="00BE1E16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3A696D33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Lecture 7: Risk mitigation IV – Set off, netting and clearing  </w:t>
      </w:r>
    </w:p>
    <w:p w14:paraId="171E6592" w14:textId="77777777" w:rsidR="007F05DC" w:rsidRDefault="00F36F33" w:rsidP="000C3569">
      <w:pPr>
        <w:widowControl w:val="0"/>
        <w:tabs>
          <w:tab w:val="left" w:pos="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0C3569">
        <w:rPr>
          <w:rFonts w:ascii="Times New Roman" w:hAnsi="Times New Roman" w:cs="Times New Roman"/>
          <w:color w:val="000000"/>
          <w:lang w:val="en-US"/>
        </w:rPr>
        <w:t xml:space="preserve">Basic bilateral mechanism: set off, settlement netting, close-out netting </w:t>
      </w:r>
    </w:p>
    <w:p w14:paraId="0AF42C2E" w14:textId="77777777" w:rsidR="007F05DC" w:rsidRDefault="00F36F33" w:rsidP="000C3569">
      <w:pPr>
        <w:widowControl w:val="0"/>
        <w:tabs>
          <w:tab w:val="left" w:pos="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0C3569">
        <w:rPr>
          <w:rFonts w:ascii="Times New Roman" w:hAnsi="Times New Roman" w:cs="Times New Roman"/>
          <w:color w:val="000000"/>
          <w:lang w:val="en-US"/>
        </w:rPr>
        <w:t xml:space="preserve">Importance for monetary operations, derivatives, repos, securities lending </w:t>
      </w:r>
    </w:p>
    <w:p w14:paraId="798F07DA" w14:textId="544F9ED3" w:rsidR="00F36F33" w:rsidRPr="000C3569" w:rsidRDefault="00F36F33" w:rsidP="000C3569">
      <w:pPr>
        <w:widowControl w:val="0"/>
        <w:tabs>
          <w:tab w:val="left" w:pos="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C3569">
        <w:rPr>
          <w:rFonts w:ascii="Times New Roman" w:hAnsi="Times New Roman" w:cs="Times New Roman"/>
          <w:color w:val="000000"/>
          <w:lang w:val="en-US"/>
        </w:rPr>
        <w:lastRenderedPageBreak/>
        <w:t>Close-out</w:t>
      </w:r>
      <w:proofErr w:type="gramEnd"/>
      <w:r w:rsidRPr="000C3569">
        <w:rPr>
          <w:rFonts w:ascii="Times New Roman" w:hAnsi="Times New Roman" w:cs="Times New Roman"/>
          <w:color w:val="000000"/>
          <w:lang w:val="en-US"/>
        </w:rPr>
        <w:t xml:space="preserve"> netting and insolvency principles Multilateral clearing and central counterparty clearing </w:t>
      </w:r>
    </w:p>
    <w:p w14:paraId="7F2D3D96" w14:textId="77777777" w:rsidR="00F36F33" w:rsidRPr="000C3569" w:rsidRDefault="00F36F33" w:rsidP="000C3569">
      <w:pPr>
        <w:widowControl w:val="0"/>
        <w:tabs>
          <w:tab w:val="left" w:pos="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0C3569">
        <w:rPr>
          <w:rFonts w:ascii="Times New Roman" w:hAnsi="Times New Roman" w:cs="Times New Roman"/>
          <w:color w:val="000000"/>
          <w:lang w:val="en-US"/>
        </w:rPr>
        <w:t>3</w:t>
      </w:r>
      <w:proofErr w:type="spellStart"/>
      <w:r w:rsidRPr="000C3569">
        <w:rPr>
          <w:rFonts w:ascii="Times New Roman" w:hAnsi="Times New Roman" w:cs="Times New Roman"/>
          <w:color w:val="000000"/>
          <w:position w:val="8"/>
          <w:lang w:val="en-US"/>
        </w:rPr>
        <w:t>rd</w:t>
      </w:r>
      <w:proofErr w:type="spellEnd"/>
      <w:r w:rsidRPr="000C3569">
        <w:rPr>
          <w:rFonts w:ascii="Times New Roman" w:hAnsi="Times New Roman" w:cs="Times New Roman"/>
          <w:color w:val="000000"/>
          <w:position w:val="8"/>
          <w:lang w:val="en-US"/>
        </w:rPr>
        <w:t xml:space="preserve"> </w:t>
      </w:r>
      <w:r w:rsidRPr="000C3569">
        <w:rPr>
          <w:rFonts w:ascii="Times New Roman" w:hAnsi="Times New Roman" w:cs="Times New Roman"/>
          <w:color w:val="000000"/>
          <w:lang w:val="en-US"/>
        </w:rPr>
        <w:t xml:space="preserve">Part: Financial Engineering </w:t>
      </w:r>
    </w:p>
    <w:p w14:paraId="05A0AC64" w14:textId="77777777" w:rsidR="00BE1E16" w:rsidRDefault="00BE1E16" w:rsidP="000C3569">
      <w:pPr>
        <w:widowControl w:val="0"/>
        <w:tabs>
          <w:tab w:val="left" w:pos="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</w:p>
    <w:p w14:paraId="0002266A" w14:textId="77777777" w:rsidR="00F36F33" w:rsidRPr="000C3569" w:rsidRDefault="00F36F33" w:rsidP="000C3569">
      <w:pPr>
        <w:widowControl w:val="0"/>
        <w:tabs>
          <w:tab w:val="left" w:pos="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0C3569">
        <w:rPr>
          <w:rFonts w:ascii="Times New Roman" w:hAnsi="Times New Roman" w:cs="Times New Roman"/>
          <w:color w:val="000000"/>
          <w:lang w:val="en-US"/>
        </w:rPr>
        <w:t xml:space="preserve">Lecture 8: </w:t>
      </w:r>
      <w:proofErr w:type="spellStart"/>
      <w:r w:rsidRPr="000C3569">
        <w:rPr>
          <w:rFonts w:ascii="Times New Roman" w:hAnsi="Times New Roman" w:cs="Times New Roman"/>
          <w:color w:val="000000"/>
          <w:lang w:val="en-US"/>
        </w:rPr>
        <w:t>Securitisation</w:t>
      </w:r>
      <w:proofErr w:type="spellEnd"/>
      <w:r w:rsidRPr="000C3569">
        <w:rPr>
          <w:rFonts w:ascii="Times New Roman" w:hAnsi="Times New Roman" w:cs="Times New Roman"/>
          <w:color w:val="000000"/>
          <w:lang w:val="en-US"/>
        </w:rPr>
        <w:t xml:space="preserve"> and Asset-backed securities </w:t>
      </w:r>
    </w:p>
    <w:p w14:paraId="6D8858D1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Structured finance  </w:t>
      </w:r>
    </w:p>
    <w:p w14:paraId="22C43F7E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Asset-backed securities  </w:t>
      </w:r>
    </w:p>
    <w:p w14:paraId="5DC485E2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 xml:space="preserve">-  True sale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securitisation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 </w:t>
      </w:r>
    </w:p>
    <w:p w14:paraId="57512962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 xml:space="preserve">-  Synthetic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securitisation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 </w:t>
      </w:r>
    </w:p>
    <w:p w14:paraId="5FAD7F39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role of rating agencies and investment banks  </w:t>
      </w:r>
    </w:p>
    <w:p w14:paraId="1DF699C2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Legal risks  4</w:t>
      </w:r>
      <w:proofErr w:type="spellStart"/>
      <w:r w:rsidRPr="00BE1E16">
        <w:rPr>
          <w:rFonts w:ascii="Times New Roman" w:hAnsi="Times New Roman" w:cs="Times New Roman"/>
          <w:color w:val="000000"/>
          <w:position w:val="8"/>
          <w:lang w:val="en-US"/>
        </w:rPr>
        <w:t>th</w:t>
      </w:r>
      <w:proofErr w:type="spellEnd"/>
      <w:r w:rsidRPr="00BE1E16">
        <w:rPr>
          <w:rFonts w:ascii="Times New Roman" w:hAnsi="Times New Roman" w:cs="Times New Roman"/>
          <w:color w:val="000000"/>
          <w:position w:val="8"/>
          <w:lang w:val="en-US"/>
        </w:rPr>
        <w:t xml:space="preserve"> </w:t>
      </w:r>
      <w:r w:rsidRPr="00BE1E16">
        <w:rPr>
          <w:rFonts w:ascii="Times New Roman" w:hAnsi="Times New Roman" w:cs="Times New Roman"/>
          <w:color w:val="000000"/>
          <w:lang w:val="en-US"/>
        </w:rPr>
        <w:t>Part: Global markets and domestic legal policies  </w:t>
      </w:r>
    </w:p>
    <w:p w14:paraId="1875581C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68C1D93A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 xml:space="preserve">Lecture 9: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Internationalisation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of the Market  </w:t>
      </w:r>
    </w:p>
    <w:p w14:paraId="6FB7629B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Cross-border financial services, branches and subsidiaries  </w:t>
      </w:r>
    </w:p>
    <w:p w14:paraId="694EBAA9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Insolvency of multinational financial institutions  </w:t>
      </w:r>
    </w:p>
    <w:p w14:paraId="0C5BC408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Territorialism and Universalism  </w:t>
      </w:r>
    </w:p>
    <w:p w14:paraId="377C2A31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 xml:space="preserve">-  Conflict of laws: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Lex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rei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sitae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lex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societatis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lex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situs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lex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contractus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gramStart"/>
      <w:r w:rsidRPr="00BE1E16">
        <w:rPr>
          <w:rFonts w:ascii="Times New Roman" w:hAnsi="Times New Roman" w:cs="Times New Roman"/>
          <w:color w:val="000000"/>
          <w:lang w:val="en-US"/>
        </w:rPr>
        <w:t>PRIMA</w:t>
      </w:r>
      <w:proofErr w:type="gramEnd"/>
      <w:r w:rsidRPr="00BE1E16">
        <w:rPr>
          <w:rFonts w:ascii="Times New Roman" w:hAnsi="Times New Roman" w:cs="Times New Roman"/>
          <w:color w:val="000000"/>
          <w:lang w:val="en-US"/>
        </w:rPr>
        <w:t xml:space="preserve">  </w:t>
      </w:r>
    </w:p>
    <w:p w14:paraId="316B77FD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Choice of law and the global influence of English law  </w:t>
      </w:r>
    </w:p>
    <w:p w14:paraId="02E6E4C1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6EE26A4C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 xml:space="preserve">Lecture 10: Transfer of financial instruments </w:t>
      </w:r>
    </w:p>
    <w:p w14:paraId="7F14C990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Stock exchanges – trading of securities  </w:t>
      </w:r>
    </w:p>
    <w:p w14:paraId="5B859611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 xml:space="preserve">-  Clearing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– settling the trade  </w:t>
      </w:r>
    </w:p>
    <w:p w14:paraId="2EDAF4A6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Domestic holding and transfer of securities  </w:t>
      </w:r>
    </w:p>
    <w:p w14:paraId="20E8626B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International holding and transfer of securities  </w:t>
      </w:r>
    </w:p>
    <w:p w14:paraId="0E145BBF" w14:textId="77777777" w:rsid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Derivatives clearing  </w:t>
      </w:r>
    </w:p>
    <w:p w14:paraId="3E105CB1" w14:textId="77777777" w:rsidR="00BE1E16" w:rsidRDefault="00BE1E16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14C0D5E2" w14:textId="77777777" w:rsidR="00F36F33" w:rsidRPr="00BE1E16" w:rsidRDefault="00F36F33" w:rsidP="000C356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Lecture 11: Financial sector insolvency – a special area of law?  </w:t>
      </w:r>
    </w:p>
    <w:p w14:paraId="44DA01F0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 xml:space="preserve">-  Safe 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harbour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protection of financial institutions  </w:t>
      </w:r>
    </w:p>
    <w:p w14:paraId="7A892EEC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tension between contract law and insolvency law  </w:t>
      </w:r>
    </w:p>
    <w:p w14:paraId="7BDA12A9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Effects on systemic risk and liquidity  </w:t>
      </w:r>
    </w:p>
    <w:p w14:paraId="780AD234" w14:textId="77777777" w:rsid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</w:t>
      </w:r>
      <w:proofErr w:type="spellStart"/>
      <w:r w:rsidRPr="00BE1E16">
        <w:rPr>
          <w:rFonts w:ascii="Times New Roman" w:hAnsi="Times New Roman" w:cs="Times New Roman"/>
          <w:color w:val="000000"/>
          <w:lang w:val="en-US"/>
        </w:rPr>
        <w:t>Internationalisation</w:t>
      </w:r>
      <w:proofErr w:type="spellEnd"/>
      <w:r w:rsidRPr="00BE1E16">
        <w:rPr>
          <w:rFonts w:ascii="Times New Roman" w:hAnsi="Times New Roman" w:cs="Times New Roman"/>
          <w:color w:val="000000"/>
          <w:lang w:val="en-US"/>
        </w:rPr>
        <w:t xml:space="preserve"> on the basis of master agreements  </w:t>
      </w:r>
    </w:p>
    <w:p w14:paraId="522F1BFC" w14:textId="77777777" w:rsidR="00BE1E16" w:rsidRDefault="00BE1E16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</w:p>
    <w:p w14:paraId="74517F91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lang w:val="en-US"/>
        </w:rPr>
        <w:t>Lecture 12: The Financial Crisis and financial law  </w:t>
      </w:r>
    </w:p>
    <w:p w14:paraId="7597C287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Phases of the Financial Crisis  </w:t>
      </w:r>
    </w:p>
    <w:p w14:paraId="5A0EA1C3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role of financial law and regulation  </w:t>
      </w:r>
    </w:p>
    <w:p w14:paraId="7E60A541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Bank resolution and financial law (bail-in, asset transfer and moratorium)  </w:t>
      </w:r>
    </w:p>
    <w:p w14:paraId="5CB0B2A3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The lack of an international framework  </w:t>
      </w:r>
    </w:p>
    <w:p w14:paraId="01C1F328" w14:textId="77777777" w:rsidR="00F36F33" w:rsidRPr="00BE1E16" w:rsidRDefault="00F36F33" w:rsidP="000C35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60" w:right="57"/>
        <w:rPr>
          <w:rFonts w:ascii="Times New Roman" w:hAnsi="Times New Roman" w:cs="Times New Roman"/>
          <w:color w:val="000000"/>
          <w:lang w:val="en-US"/>
        </w:rPr>
      </w:pP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kern w:val="1"/>
          <w:lang w:val="en-US"/>
        </w:rPr>
        <w:tab/>
      </w:r>
      <w:r w:rsidRPr="00BE1E16">
        <w:rPr>
          <w:rFonts w:ascii="Times New Roman" w:hAnsi="Times New Roman" w:cs="Times New Roman"/>
          <w:color w:val="000000"/>
          <w:lang w:val="en-US"/>
        </w:rPr>
        <w:t>-  Substitutes  </w:t>
      </w:r>
    </w:p>
    <w:p w14:paraId="0899F424" w14:textId="77777777" w:rsidR="00F36F33" w:rsidRPr="00BE1E16" w:rsidRDefault="00F36F33" w:rsidP="000C3569">
      <w:pPr>
        <w:widowControl w:val="0"/>
        <w:tabs>
          <w:tab w:val="left" w:pos="0"/>
        </w:tabs>
        <w:ind w:left="360" w:right="57"/>
        <w:rPr>
          <w:rFonts w:ascii="Times New Roman" w:hAnsi="Times New Roman" w:cs="Times New Roman"/>
        </w:rPr>
      </w:pPr>
    </w:p>
    <w:sectPr w:rsidR="00F36F33" w:rsidRPr="00BE1E16" w:rsidSect="007F05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B412FE"/>
    <w:multiLevelType w:val="hybridMultilevel"/>
    <w:tmpl w:val="BB5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33"/>
    <w:rsid w:val="000C3569"/>
    <w:rsid w:val="0039764D"/>
    <w:rsid w:val="007F05DC"/>
    <w:rsid w:val="009346DC"/>
    <w:rsid w:val="00AF5ED9"/>
    <w:rsid w:val="00BE1E16"/>
    <w:rsid w:val="00F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2CB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3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C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3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C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2867</Characters>
  <Application>Microsoft Macintosh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2020-10-14T15:14:00Z</dcterms:created>
  <dcterms:modified xsi:type="dcterms:W3CDTF">2020-10-14T15:50:00Z</dcterms:modified>
</cp:coreProperties>
</file>